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D58D" w14:textId="0AB2671F" w:rsidR="00A52EF8" w:rsidRDefault="00A52EF8" w:rsidP="005C6AF1">
      <w:pPr>
        <w:spacing w:line="240" w:lineRule="auto"/>
        <w:jc w:val="both"/>
        <w:rPr>
          <w:rFonts w:ascii="Times New Roman" w:hAnsi="Times New Roman" w:cs="Times New Roman"/>
          <w:b/>
          <w:bCs/>
        </w:rPr>
      </w:pPr>
      <w:r>
        <w:rPr>
          <w:rFonts w:ascii="Times New Roman" w:hAnsi="Times New Roman" w:cs="Times New Roman"/>
          <w:b/>
          <w:bCs/>
        </w:rPr>
        <w:t>E</w:t>
      </w:r>
      <w:r w:rsidR="004049F1" w:rsidRPr="00A52EF8">
        <w:rPr>
          <w:rFonts w:ascii="Times New Roman" w:hAnsi="Times New Roman" w:cs="Times New Roman"/>
          <w:b/>
          <w:bCs/>
        </w:rPr>
        <w:t xml:space="preserve">lektrituruseaduse </w:t>
      </w:r>
      <w:r>
        <w:rPr>
          <w:rFonts w:ascii="Times New Roman" w:hAnsi="Times New Roman" w:cs="Times New Roman"/>
          <w:b/>
          <w:bCs/>
        </w:rPr>
        <w:t>muudatusettepanekud:</w:t>
      </w:r>
    </w:p>
    <w:p w14:paraId="2E513DEF" w14:textId="70B32174" w:rsidR="004049F1" w:rsidRPr="00C123E6" w:rsidRDefault="00A52EF8" w:rsidP="00A52EF8">
      <w:pPr>
        <w:spacing w:line="240" w:lineRule="auto"/>
        <w:jc w:val="both"/>
        <w:rPr>
          <w:rFonts w:ascii="Times New Roman" w:hAnsi="Times New Roman" w:cs="Times New Roman"/>
          <w:b/>
          <w:bCs/>
        </w:rPr>
      </w:pPr>
      <w:r>
        <w:rPr>
          <w:rFonts w:ascii="Times New Roman" w:hAnsi="Times New Roman" w:cs="Times New Roman"/>
          <w:b/>
          <w:bCs/>
        </w:rPr>
        <w:t xml:space="preserve">1. paragrahvi </w:t>
      </w:r>
      <w:r w:rsidR="004049F1" w:rsidRPr="00A52EF8">
        <w:rPr>
          <w:rFonts w:ascii="Times New Roman" w:hAnsi="Times New Roman" w:cs="Times New Roman"/>
          <w:b/>
          <w:bCs/>
        </w:rPr>
        <w:t xml:space="preserve"> 87</w:t>
      </w:r>
      <w:r w:rsidR="004049F1" w:rsidRPr="00A52EF8">
        <w:rPr>
          <w:rFonts w:ascii="Times New Roman" w:hAnsi="Times New Roman" w:cs="Times New Roman"/>
          <w:b/>
          <w:bCs/>
          <w:vertAlign w:val="superscript"/>
        </w:rPr>
        <w:t>1</w:t>
      </w:r>
      <w:r w:rsidR="004049F1" w:rsidRPr="00A52EF8">
        <w:rPr>
          <w:rFonts w:ascii="Times New Roman" w:hAnsi="Times New Roman" w:cs="Times New Roman"/>
          <w:b/>
          <w:bCs/>
        </w:rPr>
        <w:t xml:space="preserve"> lõige </w:t>
      </w:r>
      <w:r w:rsidR="004049F1" w:rsidRPr="00C123E6">
        <w:rPr>
          <w:rFonts w:ascii="Times New Roman" w:hAnsi="Times New Roman" w:cs="Times New Roman"/>
          <w:b/>
          <w:bCs/>
        </w:rPr>
        <w:t>7</w:t>
      </w:r>
      <w:r>
        <w:rPr>
          <w:rFonts w:ascii="Times New Roman" w:hAnsi="Times New Roman" w:cs="Times New Roman"/>
          <w:b/>
          <w:bCs/>
        </w:rPr>
        <w:t xml:space="preserve"> muudetakse</w:t>
      </w:r>
      <w:r w:rsidR="004049F1" w:rsidRPr="00C123E6">
        <w:rPr>
          <w:rFonts w:ascii="Times New Roman" w:hAnsi="Times New Roman" w:cs="Times New Roman"/>
          <w:b/>
          <w:bCs/>
        </w:rPr>
        <w:t xml:space="preserve"> ja sõnasta</w:t>
      </w:r>
      <w:r w:rsidR="002A0214">
        <w:rPr>
          <w:rFonts w:ascii="Times New Roman" w:hAnsi="Times New Roman" w:cs="Times New Roman"/>
          <w:b/>
          <w:bCs/>
        </w:rPr>
        <w:t>takse</w:t>
      </w:r>
      <w:r w:rsidR="004049F1" w:rsidRPr="00C123E6">
        <w:rPr>
          <w:rFonts w:ascii="Times New Roman" w:hAnsi="Times New Roman" w:cs="Times New Roman"/>
          <w:b/>
          <w:bCs/>
        </w:rPr>
        <w:t xml:space="preserve"> järgmiselt:</w:t>
      </w:r>
    </w:p>
    <w:p w14:paraId="0165F9F1" w14:textId="2C29FDFA" w:rsidR="001E681F" w:rsidRDefault="004049F1" w:rsidP="00DD559E">
      <w:pPr>
        <w:spacing w:line="240" w:lineRule="auto"/>
        <w:jc w:val="both"/>
        <w:rPr>
          <w:rFonts w:ascii="Times New Roman" w:hAnsi="Times New Roman" w:cs="Times New Roman"/>
        </w:rPr>
      </w:pPr>
      <w:r w:rsidRPr="004049F1">
        <w:rPr>
          <w:rFonts w:ascii="Times New Roman" w:hAnsi="Times New Roman" w:cs="Times New Roman"/>
        </w:rPr>
        <w:t>„(7) Tootmissuunalise võrgulepingu sõlminud turuosaline, kes ei ole viimase kahe aasta jooksul alates käesoleva paragrahvi lõikes 4 nimetatud perioodi möödumisest vähemalt 95 protsendi ulatuses oma võrgulepingujärgset tootmissuunalist võimsust kasutanud, tasub võrguettevõtjale mittekasutatava tootmissuunalise võrguühenduse</w:t>
      </w:r>
      <w:r w:rsidRPr="004049F1">
        <w:rPr>
          <w:rFonts w:ascii="Times New Roman" w:hAnsi="Times New Roman" w:cs="Times New Roman"/>
          <w:u w:val="single"/>
        </w:rPr>
        <w:t xml:space="preserve"> 95-protsendilise </w:t>
      </w:r>
      <w:r w:rsidRPr="004049F1">
        <w:rPr>
          <w:rFonts w:ascii="Times New Roman" w:hAnsi="Times New Roman" w:cs="Times New Roman"/>
        </w:rPr>
        <w:t>võimsuse ulatuses tasu</w:t>
      </w:r>
      <w:r w:rsidRPr="004049F1">
        <w:rPr>
          <w:rFonts w:ascii="Times New Roman" w:hAnsi="Times New Roman" w:cs="Times New Roman"/>
          <w:u w:val="single"/>
        </w:rPr>
        <w:t>,</w:t>
      </w:r>
      <w:r w:rsidR="00C123E6">
        <w:rPr>
          <w:rFonts w:ascii="Times New Roman" w:hAnsi="Times New Roman" w:cs="Times New Roman"/>
          <w:u w:val="single"/>
        </w:rPr>
        <w:t xml:space="preserve"> mida arvutatakse lepingujärgse tootmisvõimsuse ja saavutatud võimsuse vahena, lähtudes</w:t>
      </w:r>
      <w:r w:rsidR="001E681F">
        <w:rPr>
          <w:rFonts w:ascii="Times New Roman" w:hAnsi="Times New Roman" w:cs="Times New Roman"/>
          <w:u w:val="single"/>
        </w:rPr>
        <w:t xml:space="preserve"> käesoleva paragrahvi lõikes 6 </w:t>
      </w:r>
      <w:r w:rsidR="00C123E6">
        <w:rPr>
          <w:rFonts w:ascii="Times New Roman" w:hAnsi="Times New Roman" w:cs="Times New Roman"/>
          <w:u w:val="single"/>
        </w:rPr>
        <w:t>nimetatud arvutamise</w:t>
      </w:r>
      <w:r w:rsidR="001E681F">
        <w:rPr>
          <w:rFonts w:ascii="Times New Roman" w:hAnsi="Times New Roman" w:cs="Times New Roman"/>
          <w:u w:val="single"/>
        </w:rPr>
        <w:t xml:space="preserve"> põhimõtte</w:t>
      </w:r>
      <w:r w:rsidR="00C123E6">
        <w:rPr>
          <w:rFonts w:ascii="Times New Roman" w:hAnsi="Times New Roman" w:cs="Times New Roman"/>
          <w:u w:val="single"/>
        </w:rPr>
        <w:t>st</w:t>
      </w:r>
      <w:r w:rsidR="001E681F">
        <w:rPr>
          <w:rFonts w:ascii="Times New Roman" w:hAnsi="Times New Roman" w:cs="Times New Roman"/>
          <w:u w:val="single"/>
        </w:rPr>
        <w:t xml:space="preserve">. </w:t>
      </w:r>
    </w:p>
    <w:p w14:paraId="25D9799F" w14:textId="59058BF3" w:rsidR="004049F1" w:rsidRPr="004049F1" w:rsidRDefault="004049F1" w:rsidP="00DD559E">
      <w:pPr>
        <w:spacing w:line="240" w:lineRule="auto"/>
        <w:jc w:val="both"/>
        <w:rPr>
          <w:rFonts w:ascii="Times New Roman" w:hAnsi="Times New Roman" w:cs="Times New Roman"/>
        </w:rPr>
      </w:pPr>
      <w:r w:rsidRPr="004049F1">
        <w:rPr>
          <w:rFonts w:ascii="Times New Roman" w:hAnsi="Times New Roman" w:cs="Times New Roman"/>
          <w:b/>
          <w:bCs/>
        </w:rPr>
        <w:t>Selgitus:</w:t>
      </w:r>
      <w:r w:rsidRPr="004049F1">
        <w:rPr>
          <w:rFonts w:ascii="Times New Roman" w:hAnsi="Times New Roman" w:cs="Times New Roman"/>
        </w:rPr>
        <w:t xml:space="preserve"> </w:t>
      </w:r>
      <w:r w:rsidR="00C123E6">
        <w:rPr>
          <w:rFonts w:ascii="Times New Roman" w:hAnsi="Times New Roman" w:cs="Times New Roman"/>
          <w:i/>
          <w:iCs/>
        </w:rPr>
        <w:t xml:space="preserve">Muudatuse eesmärk on täpsustada, et alakasutustasu maksekohustuse arvutamisel võetakse aluseks 95-protsendiline liitumis- ja võrgulepingujärgne võimsus. Teisisõnu kehtib muudatusele </w:t>
      </w:r>
      <w:r w:rsidRPr="004049F1">
        <w:rPr>
          <w:rFonts w:ascii="Times New Roman" w:hAnsi="Times New Roman" w:cs="Times New Roman"/>
          <w:i/>
          <w:iCs/>
        </w:rPr>
        <w:t xml:space="preserve">sama selgitus, mis </w:t>
      </w:r>
      <w:r w:rsidRPr="00A22FB1">
        <w:rPr>
          <w:rFonts w:ascii="Times New Roman" w:hAnsi="Times New Roman" w:cs="Times New Roman"/>
          <w:i/>
          <w:iCs/>
        </w:rPr>
        <w:t>§ 87</w:t>
      </w:r>
      <w:r w:rsidRPr="00A22FB1">
        <w:rPr>
          <w:rFonts w:ascii="Times New Roman" w:hAnsi="Times New Roman" w:cs="Times New Roman"/>
          <w:i/>
          <w:iCs/>
          <w:vertAlign w:val="superscript"/>
        </w:rPr>
        <w:t>1</w:t>
      </w:r>
      <w:r w:rsidRPr="00A22FB1">
        <w:rPr>
          <w:rFonts w:ascii="Times New Roman" w:hAnsi="Times New Roman" w:cs="Times New Roman"/>
          <w:i/>
          <w:iCs/>
        </w:rPr>
        <w:t xml:space="preserve"> lõike 6</w:t>
      </w:r>
      <w:r w:rsidRPr="004049F1">
        <w:rPr>
          <w:rFonts w:ascii="Times New Roman" w:hAnsi="Times New Roman" w:cs="Times New Roman"/>
          <w:i/>
          <w:iCs/>
        </w:rPr>
        <w:t xml:space="preserve"> puhul ehk lg</w:t>
      </w:r>
      <w:r w:rsidR="000179F1">
        <w:rPr>
          <w:rFonts w:ascii="Times New Roman" w:hAnsi="Times New Roman" w:cs="Times New Roman"/>
          <w:i/>
          <w:iCs/>
        </w:rPr>
        <w:t xml:space="preserve"> </w:t>
      </w:r>
      <w:r w:rsidRPr="004049F1">
        <w:rPr>
          <w:rFonts w:ascii="Times New Roman" w:hAnsi="Times New Roman" w:cs="Times New Roman"/>
          <w:i/>
          <w:iCs/>
        </w:rPr>
        <w:t>6 ja lg</w:t>
      </w:r>
      <w:r w:rsidR="000179F1">
        <w:rPr>
          <w:rFonts w:ascii="Times New Roman" w:hAnsi="Times New Roman" w:cs="Times New Roman"/>
          <w:i/>
          <w:iCs/>
        </w:rPr>
        <w:t xml:space="preserve"> </w:t>
      </w:r>
      <w:r w:rsidRPr="004049F1">
        <w:rPr>
          <w:rFonts w:ascii="Times New Roman" w:hAnsi="Times New Roman" w:cs="Times New Roman"/>
          <w:i/>
          <w:iCs/>
        </w:rPr>
        <w:t>7 on sarnased</w:t>
      </w:r>
      <w:r w:rsidR="00C123E6">
        <w:rPr>
          <w:rFonts w:ascii="Times New Roman" w:hAnsi="Times New Roman" w:cs="Times New Roman"/>
          <w:i/>
          <w:iCs/>
        </w:rPr>
        <w:t xml:space="preserve">, kuid </w:t>
      </w:r>
      <w:r w:rsidRPr="004049F1">
        <w:rPr>
          <w:rFonts w:ascii="Times New Roman" w:hAnsi="Times New Roman" w:cs="Times New Roman"/>
          <w:i/>
          <w:iCs/>
        </w:rPr>
        <w:t>üks kehtib liitumis- teine juba valmis jaamadega võrgulepingutele.</w:t>
      </w:r>
      <w:r w:rsidR="000179F1">
        <w:rPr>
          <w:rFonts w:ascii="Times New Roman" w:hAnsi="Times New Roman" w:cs="Times New Roman"/>
          <w:i/>
          <w:iCs/>
        </w:rPr>
        <w:t xml:space="preserve"> Eelmise eelnõuga jäi sisse sõnastus, mida on võimalik kaheti tõlgendada ja muudatusega loome õigusselguse.</w:t>
      </w:r>
    </w:p>
    <w:p w14:paraId="594DB63B" w14:textId="64C64656" w:rsidR="004049F1" w:rsidRPr="000179F1" w:rsidRDefault="004049F1" w:rsidP="00DD559E">
      <w:pPr>
        <w:spacing w:line="240" w:lineRule="auto"/>
        <w:jc w:val="both"/>
        <w:rPr>
          <w:rFonts w:ascii="Times New Roman" w:hAnsi="Times New Roman" w:cs="Times New Roman"/>
          <w:i/>
          <w:iCs/>
        </w:rPr>
      </w:pPr>
      <w:r w:rsidRPr="000179F1">
        <w:rPr>
          <w:rFonts w:ascii="Times New Roman" w:hAnsi="Times New Roman" w:cs="Times New Roman"/>
          <w:i/>
          <w:iCs/>
        </w:rPr>
        <w:t>Seadusemuudatusega nähakse ette võrgulepingujärgse tootmissuunalise võimsuse kasutamise kohustus 95 protsendi ulatuses (sarnaselt juba kehtivale liitumislepingujärgse tootmissuunalise võimsuse 95 protsendi ulatuses kasutamise kohustusele). Kui seaduse algse eelnõu alusel eksisteeriks tootjaliitumine võimsusega 100 MVA ja kui tootja toodab alakasutustasu arvestusperioodil 94% lepingulisest võimusest, siis peab võrguettevõtja talle esitama alakasutustasu nõude algse eelnõu teksti alusel 6% ulatuses. Seaduse täpsustuse järel tuleks aga arvesse võtta, et tootmiskohustus ise ei ole enam 100%, vaid on 95% lepingulisest võimusest ning sel juhul tuleb tootjale esitada alakasutustasu nõue 1% tootmisvõimuse ulatuses.</w:t>
      </w:r>
    </w:p>
    <w:p w14:paraId="5717403A" w14:textId="3D2B9ED5" w:rsidR="004049F1" w:rsidRPr="000179F1" w:rsidRDefault="004049F1" w:rsidP="00DD559E">
      <w:pPr>
        <w:spacing w:line="240" w:lineRule="auto"/>
        <w:jc w:val="both"/>
        <w:rPr>
          <w:rFonts w:ascii="Times New Roman" w:hAnsi="Times New Roman" w:cs="Times New Roman"/>
          <w:i/>
          <w:iCs/>
        </w:rPr>
      </w:pPr>
      <w:r w:rsidRPr="000179F1">
        <w:rPr>
          <w:rFonts w:ascii="Times New Roman" w:hAnsi="Times New Roman" w:cs="Times New Roman"/>
          <w:i/>
          <w:iCs/>
        </w:rPr>
        <w:t>Selline veidi suurem paindlikkus on vajalik, sest praktikas on osutunud tootjal täpselt 100% lepingulise võimsuse saavutamine keeruliseks ja on tekitanud täiendava ja põhjendamatu riski oma lepingulise tootmisvõimsuse ületamiseks ja sellega ühtlasi võrgulepingu rikkumiseks ainult jäiga 100% võimsuse tootmisnõude tõttu. Täpsustus täidab jätkuvalt seaduse mõtet ja eeldab, et liitumislepinguga tootmisseade on lubatud ulatuses valminud või olemasolevat, võrgulepinguga tootmisseadet kasutatakse pea maksimaalses ulatuses.</w:t>
      </w:r>
    </w:p>
    <w:p w14:paraId="37A77635" w14:textId="23B4DD8A" w:rsidR="00A22FB1" w:rsidRPr="00FE015B" w:rsidRDefault="00A52EF8" w:rsidP="00A52EF8">
      <w:pPr>
        <w:pStyle w:val="muutmisksk"/>
        <w:rPr>
          <w:b/>
          <w:bCs/>
          <w:lang w:eastAsia="en-US"/>
        </w:rPr>
      </w:pPr>
      <w:r>
        <w:rPr>
          <w:b/>
          <w:bCs/>
        </w:rPr>
        <w:t xml:space="preserve">2. </w:t>
      </w:r>
      <w:r w:rsidR="00A22FB1" w:rsidRPr="00FE015B">
        <w:rPr>
          <w:b/>
          <w:bCs/>
        </w:rPr>
        <w:t>paragrahvi 87</w:t>
      </w:r>
      <w:r w:rsidR="00A22FB1" w:rsidRPr="00FE015B">
        <w:rPr>
          <w:b/>
          <w:bCs/>
          <w:vertAlign w:val="superscript"/>
        </w:rPr>
        <w:t>1</w:t>
      </w:r>
      <w:r w:rsidR="00A22FB1" w:rsidRPr="00FE015B">
        <w:rPr>
          <w:b/>
          <w:bCs/>
        </w:rPr>
        <w:t xml:space="preserve"> lõige 5 </w:t>
      </w:r>
      <w:r>
        <w:rPr>
          <w:b/>
          <w:bCs/>
        </w:rPr>
        <w:t xml:space="preserve">muudetakse </w:t>
      </w:r>
      <w:r w:rsidR="00A22FB1" w:rsidRPr="00FE015B">
        <w:rPr>
          <w:b/>
          <w:bCs/>
        </w:rPr>
        <w:t>ja sõnasta</w:t>
      </w:r>
      <w:r w:rsidR="00CE7B7E">
        <w:rPr>
          <w:b/>
          <w:bCs/>
        </w:rPr>
        <w:t>ta</w:t>
      </w:r>
      <w:r w:rsidR="00A6564C">
        <w:rPr>
          <w:b/>
          <w:bCs/>
        </w:rPr>
        <w:t>kse</w:t>
      </w:r>
      <w:r w:rsidR="00A22FB1" w:rsidRPr="00FE015B">
        <w:rPr>
          <w:b/>
          <w:bCs/>
        </w:rPr>
        <w:t xml:space="preserve"> järgmiselt:</w:t>
      </w:r>
    </w:p>
    <w:p w14:paraId="2E6EA739" w14:textId="3903CE01" w:rsidR="00A22FB1" w:rsidRDefault="00A22FB1" w:rsidP="00DD559E">
      <w:pPr>
        <w:pStyle w:val="muudetavtekstalljoonega"/>
        <w:spacing w:before="240"/>
        <w:rPr>
          <w:u w:val="none"/>
        </w:rPr>
      </w:pPr>
      <w:r w:rsidRPr="00A22FB1">
        <w:rPr>
          <w:u w:val="none"/>
        </w:rPr>
        <w:t>”(5</w:t>
      </w:r>
      <w:r w:rsidRPr="00FE015B">
        <w:rPr>
          <w:u w:val="none"/>
        </w:rPr>
        <w:t xml:space="preserve">) Liitumistaotluses toodud elektrienergia tootmise tehnoloogiat </w:t>
      </w:r>
      <w:r w:rsidR="00FE015B">
        <w:rPr>
          <w:u w:val="none"/>
        </w:rPr>
        <w:t>tohib muuta</w:t>
      </w:r>
      <w:bookmarkStart w:id="0" w:name="_Hlk196232929"/>
      <w:r w:rsidR="00FE015B">
        <w:rPr>
          <w:u w:val="none"/>
        </w:rPr>
        <w:t xml:space="preserve"> </w:t>
      </w:r>
      <w:r w:rsidRPr="00FE015B">
        <w:rPr>
          <w:u w:val="none"/>
        </w:rPr>
        <w:t>juhul, kui tehnoloogia muutmisega ei kaasne liitumislepingus sätestatud tootmissuunaline võimsuse suurendamine</w:t>
      </w:r>
      <w:r w:rsidR="00FE015B">
        <w:rPr>
          <w:u w:val="none"/>
        </w:rPr>
        <w:t xml:space="preserve"> ning</w:t>
      </w:r>
      <w:r w:rsidR="00FE015B" w:rsidRPr="00FE015B">
        <w:rPr>
          <w:u w:val="none"/>
        </w:rPr>
        <w:t xml:space="preserve"> kui sellise tehnoloogia kasutamine ei ole vastuolus sellel alal kehtestatud riigikaitseliste piirangutega</w:t>
      </w:r>
      <w:r w:rsidRPr="00FE015B">
        <w:rPr>
          <w:u w:val="none"/>
        </w:rPr>
        <w:t>. Tehnoloogia muutmine ei muuda käesoleva paragrahvi lõikes 4 nimetatud tootmise alustamiseks ettenähtud perioodi ega perioodi arvestamise algusaega</w:t>
      </w:r>
      <w:bookmarkEnd w:id="0"/>
      <w:r w:rsidRPr="00FE015B">
        <w:rPr>
          <w:u w:val="none"/>
        </w:rPr>
        <w:t>.”;</w:t>
      </w:r>
    </w:p>
    <w:p w14:paraId="79BFCBF9" w14:textId="4BB929F3" w:rsidR="00A6564C" w:rsidRPr="000179F1" w:rsidRDefault="000179F1" w:rsidP="00DD559E">
      <w:pPr>
        <w:pStyle w:val="muudetavtekstalljoonega"/>
        <w:spacing w:before="240"/>
        <w:jc w:val="left"/>
        <w:rPr>
          <w:i/>
          <w:iCs/>
          <w:u w:val="none"/>
        </w:rPr>
      </w:pPr>
      <w:r>
        <w:rPr>
          <w:b/>
          <w:bCs/>
          <w:u w:val="none"/>
        </w:rPr>
        <w:t>Selgitus:</w:t>
      </w:r>
      <w:r>
        <w:rPr>
          <w:u w:val="none"/>
        </w:rPr>
        <w:t xml:space="preserve"> </w:t>
      </w:r>
      <w:r>
        <w:rPr>
          <w:i/>
          <w:iCs/>
          <w:u w:val="none"/>
        </w:rPr>
        <w:t>Seadusemuudatusega nähakse ette elektrienergia tootmise tehnoloogia muutmise lubamine, sest kehtiv fikseeritud liitumistasu kontseptsioon ning täpsustatud võrgu alakasutusega seotud sätted lahendavad senise tõrke ja piirang sellisel kujul ei ole enam põhjendatud.</w:t>
      </w:r>
    </w:p>
    <w:p w14:paraId="6611F29F" w14:textId="302B0B1D" w:rsidR="00A22FB1" w:rsidRPr="00A52EF8" w:rsidRDefault="00A52EF8" w:rsidP="00A52EF8">
      <w:pPr>
        <w:pStyle w:val="muudetavtekstalljoonega"/>
        <w:spacing w:before="240"/>
        <w:jc w:val="left"/>
        <w:rPr>
          <w:b/>
          <w:bCs/>
        </w:rPr>
      </w:pPr>
      <w:r w:rsidRPr="00A52EF8">
        <w:rPr>
          <w:b/>
          <w:bCs/>
        </w:rPr>
        <w:t xml:space="preserve">3. paragrahvi </w:t>
      </w:r>
      <w:r w:rsidR="00A22FB1" w:rsidRPr="00A52EF8">
        <w:rPr>
          <w:b/>
          <w:bCs/>
        </w:rPr>
        <w:t>87</w:t>
      </w:r>
      <w:r w:rsidR="00A22FB1" w:rsidRPr="00A52EF8">
        <w:rPr>
          <w:b/>
          <w:bCs/>
          <w:vertAlign w:val="superscript"/>
        </w:rPr>
        <w:t>1</w:t>
      </w:r>
      <w:r w:rsidR="00A22FB1" w:rsidRPr="00A52EF8">
        <w:rPr>
          <w:b/>
          <w:bCs/>
        </w:rPr>
        <w:t xml:space="preserve"> </w:t>
      </w:r>
      <w:r w:rsidR="00FE015B" w:rsidRPr="00A52EF8">
        <w:rPr>
          <w:b/>
          <w:bCs/>
        </w:rPr>
        <w:t>lõiget</w:t>
      </w:r>
      <w:r w:rsidR="00A22FB1" w:rsidRPr="00A52EF8">
        <w:rPr>
          <w:b/>
          <w:bCs/>
        </w:rPr>
        <w:t xml:space="preserve"> 5</w:t>
      </w:r>
      <w:r w:rsidR="00A22FB1" w:rsidRPr="00A52EF8">
        <w:rPr>
          <w:b/>
          <w:bCs/>
          <w:vertAlign w:val="superscript"/>
        </w:rPr>
        <w:t>1</w:t>
      </w:r>
      <w:r w:rsidR="00A22FB1" w:rsidRPr="00A52EF8">
        <w:rPr>
          <w:b/>
          <w:bCs/>
        </w:rPr>
        <w:t xml:space="preserve"> </w:t>
      </w:r>
      <w:r w:rsidRPr="00A52EF8">
        <w:rPr>
          <w:b/>
          <w:bCs/>
        </w:rPr>
        <w:t>muudetakse</w:t>
      </w:r>
      <w:r w:rsidR="00FE015B" w:rsidRPr="00A52EF8">
        <w:rPr>
          <w:b/>
          <w:bCs/>
        </w:rPr>
        <w:t xml:space="preserve"> ja sõnasta</w:t>
      </w:r>
      <w:r w:rsidR="00A6564C">
        <w:rPr>
          <w:b/>
          <w:bCs/>
        </w:rPr>
        <w:t>takse</w:t>
      </w:r>
      <w:r w:rsidR="00FE015B" w:rsidRPr="00A52EF8">
        <w:rPr>
          <w:b/>
          <w:bCs/>
        </w:rPr>
        <w:t xml:space="preserve"> </w:t>
      </w:r>
      <w:r w:rsidR="00A22FB1" w:rsidRPr="00A52EF8">
        <w:rPr>
          <w:b/>
          <w:bCs/>
        </w:rPr>
        <w:t>järgmise</w:t>
      </w:r>
      <w:r w:rsidR="00FE015B" w:rsidRPr="00A52EF8">
        <w:rPr>
          <w:b/>
          <w:bCs/>
        </w:rPr>
        <w:t>lt</w:t>
      </w:r>
      <w:r w:rsidR="00A22FB1" w:rsidRPr="00A52EF8">
        <w:rPr>
          <w:b/>
          <w:bCs/>
        </w:rPr>
        <w:t>:</w:t>
      </w:r>
    </w:p>
    <w:p w14:paraId="66890DCB" w14:textId="518BFFFC" w:rsidR="00FE015B" w:rsidRDefault="00A22FB1" w:rsidP="00DD559E">
      <w:pPr>
        <w:pStyle w:val="muudetavtekst"/>
      </w:pPr>
      <w:r>
        <w:t>”(5</w:t>
      </w:r>
      <w:r>
        <w:rPr>
          <w:vertAlign w:val="superscript"/>
        </w:rPr>
        <w:t>1</w:t>
      </w:r>
      <w:r>
        <w:t>) </w:t>
      </w:r>
      <w:r w:rsidRPr="005156F5">
        <w:t>Tehnoloogia muu</w:t>
      </w:r>
      <w:r>
        <w:t>tmiseks</w:t>
      </w:r>
      <w:r w:rsidRPr="005156F5">
        <w:t xml:space="preserve"> ei loeta liitumistaotluse</w:t>
      </w:r>
      <w:r>
        <w:t>s nimetatud</w:t>
      </w:r>
      <w:r w:rsidRPr="005156F5">
        <w:t xml:space="preserve"> elektrienergia tootmise tehnoloogia</w:t>
      </w:r>
      <w:r>
        <w:t>le muu tehnoloogia</w:t>
      </w:r>
      <w:r w:rsidRPr="005156F5">
        <w:t xml:space="preserve"> lisamist, kui </w:t>
      </w:r>
      <w:r>
        <w:t>sellega</w:t>
      </w:r>
      <w:r w:rsidRPr="005156F5">
        <w:t xml:space="preserve"> ei kaasne liitumislepingus sätestatud tootmissuunalise võimsuse suurendamine.</w:t>
      </w:r>
      <w:r w:rsidR="00FE015B">
        <w:t>“;</w:t>
      </w:r>
    </w:p>
    <w:p w14:paraId="499CCE69" w14:textId="74201D24" w:rsidR="000179F1" w:rsidRDefault="000179F1" w:rsidP="00DD559E">
      <w:pPr>
        <w:pStyle w:val="muudetavtekst"/>
        <w:rPr>
          <w:b/>
          <w:bCs/>
        </w:rPr>
      </w:pPr>
    </w:p>
    <w:p w14:paraId="2DF19988" w14:textId="32B08395" w:rsidR="000179F1" w:rsidRDefault="000179F1" w:rsidP="00DD559E">
      <w:pPr>
        <w:pStyle w:val="muudetavtekst"/>
        <w:rPr>
          <w:i/>
          <w:iCs/>
        </w:rPr>
      </w:pPr>
      <w:r>
        <w:rPr>
          <w:b/>
          <w:bCs/>
        </w:rPr>
        <w:lastRenderedPageBreak/>
        <w:t>Selgitus:</w:t>
      </w:r>
      <w:r>
        <w:rPr>
          <w:b/>
          <w:bCs/>
          <w:i/>
          <w:iCs/>
        </w:rPr>
        <w:t xml:space="preserve"> </w:t>
      </w:r>
      <w:r>
        <w:rPr>
          <w:i/>
          <w:iCs/>
        </w:rPr>
        <w:t>Kehtima jääb nõue, et liitumistaotluses nimetatud tehnoloogia muutmisel ei tohi kaasneda tootmissuunalise võimsuse suurendamine ning see vajab jätkuvalt täiendava liitumisvõimsuse taotluse esitamist.</w:t>
      </w:r>
    </w:p>
    <w:p w14:paraId="1580E519" w14:textId="77777777" w:rsidR="00A52EF8" w:rsidRPr="000179F1" w:rsidRDefault="00A52EF8" w:rsidP="00DD559E">
      <w:pPr>
        <w:pStyle w:val="muudetavtekst"/>
        <w:rPr>
          <w:i/>
          <w:iCs/>
        </w:rPr>
      </w:pPr>
    </w:p>
    <w:p w14:paraId="27F32FEE" w14:textId="7004ECD2" w:rsidR="00FE015B" w:rsidRPr="00FE015B" w:rsidRDefault="00A52EF8" w:rsidP="00A52EF8">
      <w:pPr>
        <w:pStyle w:val="muudetavtekst"/>
      </w:pPr>
      <w:r>
        <w:rPr>
          <w:b/>
          <w:bCs/>
        </w:rPr>
        <w:t xml:space="preserve">4. </w:t>
      </w:r>
      <w:r w:rsidR="00FE015B" w:rsidRPr="00FE015B">
        <w:rPr>
          <w:b/>
          <w:bCs/>
        </w:rPr>
        <w:t>paragrahvi 87</w:t>
      </w:r>
      <w:r w:rsidR="00FE015B" w:rsidRPr="00FE015B">
        <w:rPr>
          <w:b/>
          <w:bCs/>
          <w:vertAlign w:val="superscript"/>
        </w:rPr>
        <w:t>1</w:t>
      </w:r>
      <w:r w:rsidR="00FE015B" w:rsidRPr="00FE015B">
        <w:rPr>
          <w:b/>
          <w:bCs/>
        </w:rPr>
        <w:t xml:space="preserve"> lõige 5</w:t>
      </w:r>
      <w:r w:rsidR="00FE015B" w:rsidRPr="00FE015B">
        <w:rPr>
          <w:b/>
          <w:bCs/>
          <w:vertAlign w:val="superscript"/>
        </w:rPr>
        <w:t>2</w:t>
      </w:r>
      <w:r w:rsidR="00FE015B" w:rsidRPr="00FE015B">
        <w:rPr>
          <w:b/>
          <w:bCs/>
        </w:rPr>
        <w:t xml:space="preserve"> tunnistatakse kehtetuks:</w:t>
      </w:r>
    </w:p>
    <w:p w14:paraId="520A0B96" w14:textId="37827A27" w:rsidR="00FE015B" w:rsidRDefault="00FE015B" w:rsidP="00DD559E">
      <w:pPr>
        <w:pStyle w:val="muudetavtekst"/>
      </w:pPr>
      <w:r>
        <w:tab/>
      </w:r>
    </w:p>
    <w:p w14:paraId="5EC57400" w14:textId="0D685D1D" w:rsidR="00A22FB1" w:rsidRDefault="00FE015B" w:rsidP="00DD559E">
      <w:pPr>
        <w:pStyle w:val="muudetavtekst"/>
        <w:rPr>
          <w:strike/>
        </w:rPr>
      </w:pPr>
      <w:r>
        <w:rPr>
          <w:strike/>
        </w:rPr>
        <w:t>„</w:t>
      </w:r>
      <w:r w:rsidR="00A22FB1" w:rsidRPr="00FE015B">
        <w:rPr>
          <w:strike/>
        </w:rPr>
        <w:t>(5</w:t>
      </w:r>
      <w:r w:rsidR="00A22FB1" w:rsidRPr="00FE015B">
        <w:rPr>
          <w:strike/>
          <w:vertAlign w:val="superscript"/>
        </w:rPr>
        <w:t>2</w:t>
      </w:r>
      <w:r w:rsidR="00A22FB1" w:rsidRPr="00FE015B">
        <w:rPr>
          <w:strike/>
        </w:rPr>
        <w:t>) Liitumistaotluses nimetatud elektrienergia tootmise tehnoloogiat on lubatud muuta aladel ja juhtudel, kus riigikaitseliste piirangute tõttu ei ole lubatud liitumistaotluses näidatud tehnoloogiat rajada. Tehnoloogiat võib muuta, kui sellise tehnoloogia kasutamine ei ole vastuolus sellel alal kehtestatud riigikaitseliste piirangutega.”;</w:t>
      </w:r>
    </w:p>
    <w:p w14:paraId="6C78BE97" w14:textId="71F118E9" w:rsidR="00FE015B" w:rsidRDefault="00FE015B" w:rsidP="00DD559E">
      <w:pPr>
        <w:pStyle w:val="muudetavtekst"/>
        <w:rPr>
          <w:b/>
          <w:bCs/>
          <w:strike/>
        </w:rPr>
      </w:pPr>
    </w:p>
    <w:p w14:paraId="09C451F8" w14:textId="3B1398FC" w:rsidR="000179F1" w:rsidRPr="000179F1" w:rsidRDefault="000179F1" w:rsidP="00DD559E">
      <w:pPr>
        <w:pStyle w:val="muudetavtekst"/>
        <w:rPr>
          <w:i/>
          <w:iCs/>
        </w:rPr>
      </w:pPr>
      <w:r w:rsidRPr="000179F1">
        <w:rPr>
          <w:b/>
          <w:bCs/>
        </w:rPr>
        <w:t>Selgitus</w:t>
      </w:r>
      <w:r>
        <w:rPr>
          <w:b/>
          <w:bCs/>
        </w:rPr>
        <w:t xml:space="preserve">: </w:t>
      </w:r>
      <w:r>
        <w:rPr>
          <w:i/>
          <w:iCs/>
        </w:rPr>
        <w:t>Sätte sisu viiakse § 87</w:t>
      </w:r>
      <w:r>
        <w:rPr>
          <w:i/>
          <w:iCs/>
          <w:vertAlign w:val="superscript"/>
        </w:rPr>
        <w:t>1</w:t>
      </w:r>
      <w:r>
        <w:rPr>
          <w:i/>
          <w:iCs/>
        </w:rPr>
        <w:t xml:space="preserve"> lõikesse 5 üle ehk leevendatakse tehnoloogia muutmise piirangut üle-eestiliselt, kuid riigikaitseliste piirangutega aladel ja juhtudel on piiravaks asjaolu, missuguse tehnoloogia kasutamine on kooskõlas sellel alal ja juhul kehtestatud riigikaitseliste piirangutega.</w:t>
      </w:r>
    </w:p>
    <w:p w14:paraId="23B71094" w14:textId="77777777" w:rsidR="000179F1" w:rsidRDefault="000179F1" w:rsidP="00DD559E">
      <w:pPr>
        <w:pStyle w:val="muudetavtekst"/>
        <w:rPr>
          <w:strike/>
          <w:u w:val="single"/>
        </w:rPr>
      </w:pPr>
    </w:p>
    <w:p w14:paraId="7DD77177" w14:textId="03340D46" w:rsidR="00A52EF8" w:rsidRPr="00A52EF8" w:rsidRDefault="00A52EF8" w:rsidP="00DD559E">
      <w:pPr>
        <w:pStyle w:val="muudetavtekst"/>
        <w:rPr>
          <w:b/>
          <w:bCs/>
        </w:rPr>
      </w:pPr>
      <w:r w:rsidRPr="00A52EF8">
        <w:rPr>
          <w:b/>
          <w:bCs/>
        </w:rPr>
        <w:t xml:space="preserve">5. </w:t>
      </w:r>
      <w:r w:rsidR="00A6564C">
        <w:rPr>
          <w:b/>
          <w:bCs/>
        </w:rPr>
        <w:t>paragrahvi</w:t>
      </w:r>
      <w:r w:rsidR="00A6564C" w:rsidRPr="00A52EF8">
        <w:rPr>
          <w:b/>
          <w:bCs/>
        </w:rPr>
        <w:t xml:space="preserve"> </w:t>
      </w:r>
      <w:r w:rsidRPr="00A52EF8">
        <w:rPr>
          <w:b/>
          <w:bCs/>
        </w:rPr>
        <w:t>§ 111</w:t>
      </w:r>
      <w:r w:rsidRPr="00A52EF8">
        <w:rPr>
          <w:b/>
          <w:bCs/>
          <w:vertAlign w:val="superscript"/>
        </w:rPr>
        <w:t xml:space="preserve">3 </w:t>
      </w:r>
      <w:r w:rsidR="00A6564C">
        <w:rPr>
          <w:b/>
          <w:bCs/>
        </w:rPr>
        <w:t>täiendatakse l</w:t>
      </w:r>
      <w:r w:rsidRPr="00A52EF8">
        <w:rPr>
          <w:b/>
          <w:bCs/>
        </w:rPr>
        <w:t>õikega 17</w:t>
      </w:r>
      <w:r w:rsidRPr="00A52EF8">
        <w:rPr>
          <w:b/>
          <w:bCs/>
          <w:vertAlign w:val="superscript"/>
        </w:rPr>
        <w:t xml:space="preserve">1 </w:t>
      </w:r>
      <w:r w:rsidRPr="00A52EF8">
        <w:rPr>
          <w:b/>
          <w:bCs/>
        </w:rPr>
        <w:t xml:space="preserve">järgmises sõnastuses: </w:t>
      </w:r>
    </w:p>
    <w:p w14:paraId="06643937" w14:textId="77777777" w:rsidR="00A52EF8" w:rsidRDefault="00A52EF8" w:rsidP="00EA432B">
      <w:pPr>
        <w:pStyle w:val="muudetavtekst"/>
        <w:rPr>
          <w:b/>
          <w:bCs/>
          <w:u w:val="single"/>
        </w:rPr>
      </w:pPr>
    </w:p>
    <w:p w14:paraId="59CC86DD" w14:textId="6AB52A98" w:rsidR="00A52EF8" w:rsidRDefault="00A52EF8" w:rsidP="00EA432B">
      <w:pPr>
        <w:spacing w:line="240" w:lineRule="auto"/>
        <w:jc w:val="both"/>
        <w:rPr>
          <w:rFonts w:ascii="Times New Roman" w:hAnsi="Times New Roman" w:cs="Times New Roman"/>
        </w:rPr>
      </w:pPr>
      <w:r>
        <w:rPr>
          <w:rFonts w:ascii="Times New Roman" w:hAnsi="Times New Roman" w:cs="Times New Roman"/>
        </w:rPr>
        <w:t>„(17</w:t>
      </w:r>
      <w:r>
        <w:rPr>
          <w:rFonts w:ascii="Times New Roman" w:hAnsi="Times New Roman" w:cs="Times New Roman"/>
          <w:vertAlign w:val="superscript"/>
        </w:rPr>
        <w:t>1</w:t>
      </w:r>
      <w:r>
        <w:rPr>
          <w:rFonts w:ascii="Times New Roman" w:hAnsi="Times New Roman" w:cs="Times New Roman"/>
        </w:rPr>
        <w:t>) Käesoleva seaduse § 87</w:t>
      </w:r>
      <w:r w:rsidR="00A6564C">
        <w:rPr>
          <w:rFonts w:ascii="Times New Roman" w:hAnsi="Times New Roman" w:cs="Times New Roman"/>
          <w:vertAlign w:val="superscript"/>
        </w:rPr>
        <w:t>1</w:t>
      </w:r>
      <w:r>
        <w:rPr>
          <w:rFonts w:ascii="Times New Roman" w:hAnsi="Times New Roman" w:cs="Times New Roman"/>
        </w:rPr>
        <w:t xml:space="preserve"> lõikes 7 sätestatud tasu ei rakendu mittekasutatava tootmissuunalise võrguühenduse võimsuse ulatuses, mis on seotud käesoleva seaduse § 42</w:t>
      </w:r>
      <w:r>
        <w:rPr>
          <w:rFonts w:ascii="Times New Roman" w:hAnsi="Times New Roman" w:cs="Times New Roman"/>
          <w:vertAlign w:val="superscript"/>
        </w:rPr>
        <w:t>2</w:t>
      </w:r>
      <w:r>
        <w:rPr>
          <w:rFonts w:ascii="Times New Roman" w:hAnsi="Times New Roman" w:cs="Times New Roman"/>
        </w:rPr>
        <w:t xml:space="preserve"> lõikes 1 nimetatud reservvõimsuse mehhanismis osalemisega, on vajalik süsteemihalduriga sõlmitud pikaajalise sagedusreservide lepingu täitmiseks või süsteemihalduriga sõlmitud tehnilise koostöö ja varustuskindluse tagamise lepingu täitmiseks.“;</w:t>
      </w:r>
    </w:p>
    <w:p w14:paraId="0D1FBF1A" w14:textId="4736768B" w:rsidR="00FE015B" w:rsidRPr="00A52EF8" w:rsidRDefault="00A52EF8" w:rsidP="00EA432B">
      <w:pPr>
        <w:pStyle w:val="muudetavtekst"/>
        <w:spacing w:before="240"/>
        <w:rPr>
          <w:b/>
          <w:bCs/>
        </w:rPr>
      </w:pPr>
      <w:r w:rsidRPr="00A52EF8">
        <w:rPr>
          <w:b/>
          <w:bCs/>
        </w:rPr>
        <w:t xml:space="preserve">6. </w:t>
      </w:r>
      <w:r w:rsidR="00057CD3" w:rsidRPr="00A52EF8">
        <w:rPr>
          <w:b/>
          <w:bCs/>
        </w:rPr>
        <w:t>paragrahvi 111</w:t>
      </w:r>
      <w:r w:rsidR="00057CD3" w:rsidRPr="00A52EF8">
        <w:rPr>
          <w:b/>
          <w:bCs/>
          <w:vertAlign w:val="superscript"/>
        </w:rPr>
        <w:t>3</w:t>
      </w:r>
      <w:r w:rsidR="00057CD3" w:rsidRPr="00A52EF8">
        <w:rPr>
          <w:b/>
          <w:bCs/>
        </w:rPr>
        <w:t xml:space="preserve"> </w:t>
      </w:r>
      <w:r w:rsidR="002A12C3" w:rsidRPr="00A52EF8">
        <w:rPr>
          <w:b/>
          <w:bCs/>
        </w:rPr>
        <w:t>täiendatakse lõi</w:t>
      </w:r>
      <w:r w:rsidR="00C123E6">
        <w:rPr>
          <w:b/>
          <w:bCs/>
        </w:rPr>
        <w:t>keg</w:t>
      </w:r>
      <w:r w:rsidR="002A12C3" w:rsidRPr="00A52EF8">
        <w:rPr>
          <w:b/>
          <w:bCs/>
        </w:rPr>
        <w:t>a</w:t>
      </w:r>
      <w:r w:rsidR="00057CD3" w:rsidRPr="00A52EF8">
        <w:rPr>
          <w:b/>
          <w:bCs/>
        </w:rPr>
        <w:t xml:space="preserve"> </w:t>
      </w:r>
      <w:r w:rsidR="002A12C3" w:rsidRPr="00A52EF8">
        <w:rPr>
          <w:b/>
          <w:bCs/>
        </w:rPr>
        <w:t>31</w:t>
      </w:r>
      <w:r w:rsidR="00057CD3" w:rsidRPr="00A52EF8">
        <w:rPr>
          <w:b/>
          <w:bCs/>
        </w:rPr>
        <w:t xml:space="preserve"> järgmises sõnastuses:</w:t>
      </w:r>
    </w:p>
    <w:p w14:paraId="6B5A66D1" w14:textId="77777777" w:rsidR="00057CD3" w:rsidRPr="00A52EF8" w:rsidRDefault="00057CD3" w:rsidP="00EA432B">
      <w:pPr>
        <w:pStyle w:val="muudetavtekst"/>
        <w:rPr>
          <w:b/>
          <w:bCs/>
        </w:rPr>
      </w:pPr>
    </w:p>
    <w:p w14:paraId="3CCF85E1" w14:textId="510E6625" w:rsidR="00C123E6" w:rsidRPr="00C123E6" w:rsidRDefault="00C123E6" w:rsidP="00EA432B">
      <w:pPr>
        <w:pStyle w:val="muudetavtekst"/>
      </w:pPr>
      <w:r w:rsidRPr="00C123E6">
        <w:t>„(</w:t>
      </w:r>
      <w:r>
        <w:t>31</w:t>
      </w:r>
      <w:r w:rsidRPr="00C123E6">
        <w:t>) Käesoleva seaduse § 87</w:t>
      </w:r>
      <w:r w:rsidRPr="00C123E6">
        <w:rPr>
          <w:vertAlign w:val="superscript"/>
        </w:rPr>
        <w:t>1</w:t>
      </w:r>
      <w:r w:rsidRPr="00C123E6">
        <w:t xml:space="preserve"> lõikes 5 nimetatud tehnoloogia muutmist kohaldatakse enne [</w:t>
      </w:r>
      <w:r w:rsidRPr="00C123E6">
        <w:rPr>
          <w:highlight w:val="yellow"/>
        </w:rPr>
        <w:t>eelnõu 556 SE</w:t>
      </w:r>
      <w:r w:rsidR="007F45DE">
        <w:rPr>
          <w:highlight w:val="yellow"/>
        </w:rPr>
        <w:t xml:space="preserve"> seadusena</w:t>
      </w:r>
      <w:r w:rsidRPr="00C123E6">
        <w:rPr>
          <w:highlight w:val="yellow"/>
        </w:rPr>
        <w:t xml:space="preserve"> jõustumis</w:t>
      </w:r>
      <w:r w:rsidR="007F45DE">
        <w:rPr>
          <w:highlight w:val="yellow"/>
        </w:rPr>
        <w:t xml:space="preserve">e </w:t>
      </w:r>
      <w:r w:rsidRPr="00C123E6">
        <w:rPr>
          <w:highlight w:val="yellow"/>
        </w:rPr>
        <w:t>kuupäev</w:t>
      </w:r>
      <w:r w:rsidRPr="00C123E6">
        <w:t>] sõlmitud liitumislepingute</w:t>
      </w:r>
      <w:r w:rsidR="00EA432B">
        <w:t>s toodud</w:t>
      </w:r>
      <w:r w:rsidRPr="00C123E6">
        <w:t xml:space="preserve"> too</w:t>
      </w:r>
      <w:r>
        <w:t>tmis</w:t>
      </w:r>
      <w:r w:rsidRPr="00C123E6">
        <w:t>tehnoloogia muutmisel tuult energiatootmiseks kasutava</w:t>
      </w:r>
      <w:r w:rsidR="00F62FF2">
        <w:t>ks</w:t>
      </w:r>
      <w:r w:rsidRPr="00C123E6">
        <w:t xml:space="preserve"> tehnoloogia</w:t>
      </w:r>
      <w:r w:rsidR="00F62FF2">
        <w:t>ks</w:t>
      </w:r>
      <w:r w:rsidRPr="00C123E6">
        <w:t>, kui:</w:t>
      </w:r>
    </w:p>
    <w:p w14:paraId="004FD133" w14:textId="77777777" w:rsidR="00C123E6" w:rsidRPr="00F62FF2" w:rsidRDefault="00C123E6" w:rsidP="00EA432B">
      <w:pPr>
        <w:pStyle w:val="muudetavtekst"/>
        <w:numPr>
          <w:ilvl w:val="0"/>
          <w:numId w:val="3"/>
        </w:numPr>
      </w:pPr>
      <w:r w:rsidRPr="00C123E6">
        <w:t>tootja poolt olemasoleva liitumislepingu alusel makstud tasu on kõrgem kui hinnanguline tehnoloogia muutmise taotluse hetkel makstav § 72 lõikes 6</w:t>
      </w:r>
      <w:r w:rsidRPr="00C123E6">
        <w:rPr>
          <w:vertAlign w:val="superscript"/>
        </w:rPr>
        <w:t>3</w:t>
      </w:r>
      <w:r w:rsidRPr="00C123E6">
        <w:t xml:space="preserve"> nimetatud </w:t>
      </w:r>
      <w:r w:rsidRPr="00F62FF2">
        <w:t>liitumistasu; või</w:t>
      </w:r>
    </w:p>
    <w:p w14:paraId="11193772" w14:textId="77777777" w:rsidR="00C123E6" w:rsidRPr="00F62FF2" w:rsidRDefault="00C123E6" w:rsidP="00EA432B">
      <w:pPr>
        <w:pStyle w:val="muudetavtekst"/>
        <w:numPr>
          <w:ilvl w:val="0"/>
          <w:numId w:val="3"/>
        </w:numPr>
      </w:pPr>
      <w:r w:rsidRPr="00F62FF2">
        <w:t>tootja poolt käesoleva seaduse § 72 lõikes 6</w:t>
      </w:r>
      <w:r w:rsidRPr="00F62FF2">
        <w:rPr>
          <w:vertAlign w:val="superscript"/>
        </w:rPr>
        <w:t>3</w:t>
      </w:r>
      <w:r w:rsidRPr="00F62FF2">
        <w:t xml:space="preserve"> sätestatud hinnanguline liitumistasu oleks taotluse esitamise hetkel kõrgem kui olemasolev liitumislepingu kohane liitumistasu ning tootja tasub liitumistasude vahe.“</w:t>
      </w:r>
    </w:p>
    <w:p w14:paraId="21CDB84D" w14:textId="07B2F8C5" w:rsidR="00F62FF2" w:rsidRPr="00F62FF2" w:rsidRDefault="00F62FF2" w:rsidP="00F62FF2">
      <w:pPr>
        <w:pStyle w:val="muudetavtekst"/>
        <w:rPr>
          <w:i/>
          <w:iCs/>
          <w:highlight w:val="yellow"/>
        </w:rPr>
      </w:pPr>
      <w:commentRangeStart w:id="1"/>
      <w:r w:rsidRPr="00F62FF2">
        <w:rPr>
          <w:i/>
          <w:iCs/>
          <w:highlight w:val="yellow"/>
        </w:rPr>
        <w:t>Või alternatiivina</w:t>
      </w:r>
      <w:r>
        <w:rPr>
          <w:i/>
          <w:iCs/>
          <w:highlight w:val="yellow"/>
        </w:rPr>
        <w:t xml:space="preserve"> 1) ja 2) asemel</w:t>
      </w:r>
      <w:commentRangeEnd w:id="1"/>
      <w:r w:rsidR="007F45DE">
        <w:rPr>
          <w:rStyle w:val="CommentReference"/>
          <w:rFonts w:asciiTheme="minorHAnsi" w:eastAsiaTheme="minorHAnsi" w:hAnsiTheme="minorHAnsi" w:cstheme="minorBidi"/>
          <w:kern w:val="2"/>
          <w:lang w:eastAsia="en-US"/>
          <w14:ligatures w14:val="standardContextual"/>
        </w:rPr>
        <w:commentReference w:id="1"/>
      </w:r>
      <w:r w:rsidRPr="00F62FF2">
        <w:rPr>
          <w:i/>
          <w:iCs/>
          <w:highlight w:val="yellow"/>
        </w:rPr>
        <w:t>:</w:t>
      </w:r>
    </w:p>
    <w:p w14:paraId="2DEE1B50" w14:textId="36435B88" w:rsidR="00F62FF2" w:rsidRPr="00F62FF2" w:rsidRDefault="00F62FF2" w:rsidP="00F62FF2">
      <w:pPr>
        <w:pStyle w:val="muudetavtekst"/>
        <w:numPr>
          <w:ilvl w:val="0"/>
          <w:numId w:val="3"/>
        </w:numPr>
        <w:rPr>
          <w:i/>
          <w:iCs/>
          <w:highlight w:val="yellow"/>
        </w:rPr>
      </w:pPr>
      <w:r w:rsidRPr="00F62FF2">
        <w:rPr>
          <w:i/>
          <w:iCs/>
          <w:highlight w:val="yellow"/>
        </w:rPr>
        <w:t xml:space="preserve">tootja ei osale </w:t>
      </w:r>
      <w:r>
        <w:rPr>
          <w:i/>
          <w:iCs/>
          <w:highlight w:val="yellow"/>
        </w:rPr>
        <w:t xml:space="preserve">tootmistehnoloogia muutmise järel sellega </w:t>
      </w:r>
      <w:r w:rsidRPr="00F62FF2">
        <w:rPr>
          <w:i/>
          <w:iCs/>
          <w:highlight w:val="yellow"/>
        </w:rPr>
        <w:t>taastuvenergiaallikast ja tõhusa koostootmise režiimil energia tootmiseks korraldataval vähempakkumisel</w:t>
      </w:r>
      <w:r>
        <w:rPr>
          <w:i/>
          <w:iCs/>
          <w:highlight w:val="yellow"/>
        </w:rPr>
        <w:t>.“</w:t>
      </w:r>
    </w:p>
    <w:p w14:paraId="7FC83499" w14:textId="77777777" w:rsidR="00A94066" w:rsidRDefault="00A94066" w:rsidP="00DD559E">
      <w:pPr>
        <w:pStyle w:val="muudetavtekst"/>
      </w:pPr>
    </w:p>
    <w:p w14:paraId="38A8A8CA" w14:textId="77777777" w:rsidR="00EA432B" w:rsidRDefault="00A94066" w:rsidP="00DD559E">
      <w:pPr>
        <w:pStyle w:val="muudetavtekst"/>
        <w:rPr>
          <w:i/>
          <w:iCs/>
        </w:rPr>
      </w:pPr>
      <w:r>
        <w:rPr>
          <w:b/>
          <w:bCs/>
        </w:rPr>
        <w:t>Selgitus:</w:t>
      </w:r>
      <w:r w:rsidR="00EA432B">
        <w:rPr>
          <w:b/>
          <w:bCs/>
        </w:rPr>
        <w:t xml:space="preserve"> </w:t>
      </w:r>
      <w:r w:rsidR="00EA432B">
        <w:rPr>
          <w:i/>
          <w:iCs/>
        </w:rPr>
        <w:t>Säte on seotud sama eelnõu punktis 2 tehtava elektrituruseaduse § 87</w:t>
      </w:r>
      <w:r w:rsidR="00EA432B">
        <w:rPr>
          <w:i/>
          <w:iCs/>
          <w:vertAlign w:val="superscript"/>
        </w:rPr>
        <w:t>1</w:t>
      </w:r>
      <w:r w:rsidR="00EA432B">
        <w:rPr>
          <w:i/>
          <w:iCs/>
        </w:rPr>
        <w:t xml:space="preserve"> lõike 5 muudatusega, mille kohaselt on liitumistaotluses toodud tehnoloogia muutmine tervikuna lubatud. Rakendussättega piiratakse tehnoloogia muutmist tuult elektrienergia tootmiseks kasutavaks tehnoloogiaks olukorras, kus asjakohane liitumine on saadud oluliselt soodsamalt võrreldes tänaste turutingimustega. Rakendussätte eesmärk on tagada tuuleenergia arendajatele õiguskindlus ning turul võrdsed konkurentsitingimused.</w:t>
      </w:r>
    </w:p>
    <w:p w14:paraId="215AD3E0" w14:textId="04883425" w:rsidR="00EA432B" w:rsidRPr="00EA432B" w:rsidRDefault="00EA432B" w:rsidP="00EA432B">
      <w:pPr>
        <w:pStyle w:val="muudetavtekst"/>
        <w:spacing w:before="240"/>
        <w:rPr>
          <w:i/>
          <w:iCs/>
        </w:rPr>
      </w:pPr>
      <w:r>
        <w:rPr>
          <w:i/>
          <w:iCs/>
        </w:rPr>
        <w:t xml:space="preserve">On võimalik, et nendel arendajatel, kes ei liitunud algselt tuulest elektrienergia tootmise </w:t>
      </w:r>
      <w:r w:rsidRPr="00EA432B">
        <w:rPr>
          <w:i/>
          <w:iCs/>
        </w:rPr>
        <w:t>tehnoloogiaga,</w:t>
      </w:r>
      <w:r w:rsidR="00A94066" w:rsidRPr="00EA432B">
        <w:rPr>
          <w:i/>
          <w:iCs/>
        </w:rPr>
        <w:t xml:space="preserve"> </w:t>
      </w:r>
      <w:r w:rsidRPr="00EA432B">
        <w:rPr>
          <w:i/>
          <w:iCs/>
        </w:rPr>
        <w:t xml:space="preserve">on olnud võrreldes tänasega kiirem ja soodsam ligipääs põhivõrgule kui piiratud ressursile. Konkurentsieelise andmise ja turuosaliste ebavõrdse kohtlemise vältimiseks on tehnoloogia muutmine lubatud juhul kui liituja tasub liitumistasude arvutusliku vahe. Juhul kui põhivõrguga ühendamise liitumistasude uue kontseptsiooni (see tähendab fikseeritud </w:t>
      </w:r>
      <w:r w:rsidRPr="00EA432B">
        <w:rPr>
          <w:i/>
          <w:iCs/>
        </w:rPr>
        <w:lastRenderedPageBreak/>
        <w:t>tasumäärade) järgi oleks liitumistasu soodsam kui olemasoleva liitumislepinguga ette nähtud liitumistasu, siis tehnoloogia muutmine kehtivas liitumislepingus on lubatud, kuid liitumistasude erinevust liitujale sellisel juhul ei tagastata.</w:t>
      </w:r>
    </w:p>
    <w:p w14:paraId="42D69233" w14:textId="38B63303" w:rsidR="004049F1" w:rsidRPr="00FE015B" w:rsidRDefault="00EA432B" w:rsidP="00F62FF2">
      <w:pPr>
        <w:pStyle w:val="muudetavtekst"/>
        <w:spacing w:before="240"/>
      </w:pPr>
      <w:r w:rsidRPr="00EA432B">
        <w:rPr>
          <w:i/>
          <w:iCs/>
        </w:rPr>
        <w:t>Rakendussäte ei piira pärast [</w:t>
      </w:r>
      <w:r w:rsidRPr="00EA432B">
        <w:rPr>
          <w:i/>
          <w:iCs/>
          <w:highlight w:val="yellow"/>
        </w:rPr>
        <w:t>eelnõu 556 SE jõustumiskuupäev</w:t>
      </w:r>
      <w:r w:rsidRPr="00EA432B">
        <w:rPr>
          <w:i/>
          <w:iCs/>
        </w:rPr>
        <w:t>] sõlmitud liitumislepingus toodud tootmistehnoloogia muutmist.</w:t>
      </w:r>
    </w:p>
    <w:sectPr w:rsidR="004049F1" w:rsidRPr="00FE01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hérèse Liis Kilk" w:date="2025-05-23T14:01:00Z" w:initials="tlk">
    <w:p w14:paraId="3E9AFE7B" w14:textId="77777777" w:rsidR="007F45DE" w:rsidRDefault="007F45DE" w:rsidP="007F45DE">
      <w:pPr>
        <w:pStyle w:val="CommentText"/>
      </w:pPr>
      <w:r>
        <w:rPr>
          <w:rStyle w:val="CommentReference"/>
        </w:rPr>
        <w:annotationRef/>
      </w:r>
      <w:r>
        <w:t>Ehk turuosalisele jääks valik, kas tehnoloogia muutmisel tasuda liitumistasude vahe ja piirangut vähempakkumisel osalemisele ei ole või võib tehnoloogiat muuta ilma liitumistasude vahet katmata, kuid sel juhul ei oleks tootjal selle seadmega lubatud osaleda vähempakkumisel.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9AFE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55B985" w16cex:dateUtc="2025-05-23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9AFE7B" w16cid:durableId="5655B9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43131"/>
    <w:multiLevelType w:val="hybridMultilevel"/>
    <w:tmpl w:val="5E90364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2335740"/>
    <w:multiLevelType w:val="hybridMultilevel"/>
    <w:tmpl w:val="EBE42694"/>
    <w:lvl w:ilvl="0" w:tplc="3DF69B22">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2" w15:restartNumberingAfterBreak="0">
    <w:nsid w:val="2A5942E2"/>
    <w:multiLevelType w:val="hybridMultilevel"/>
    <w:tmpl w:val="7414AD20"/>
    <w:lvl w:ilvl="0" w:tplc="3F4A89E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F73197E"/>
    <w:multiLevelType w:val="hybridMultilevel"/>
    <w:tmpl w:val="AEBAC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E6F74C8"/>
    <w:multiLevelType w:val="hybridMultilevel"/>
    <w:tmpl w:val="7414AD2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9650253">
    <w:abstractNumId w:val="2"/>
  </w:num>
  <w:num w:numId="2" w16cid:durableId="1719816703">
    <w:abstractNumId w:val="4"/>
  </w:num>
  <w:num w:numId="3" w16cid:durableId="2079204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3102894">
    <w:abstractNumId w:val="1"/>
  </w:num>
  <w:num w:numId="5" w16cid:durableId="12483490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érèse Liis Kilk">
    <w15:presenceInfo w15:providerId="None" w15:userId="Thérèse Liis Kil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F1"/>
    <w:rsid w:val="000179F1"/>
    <w:rsid w:val="00057CD3"/>
    <w:rsid w:val="001B71D8"/>
    <w:rsid w:val="001E681F"/>
    <w:rsid w:val="00276B29"/>
    <w:rsid w:val="002A0214"/>
    <w:rsid w:val="002A12C3"/>
    <w:rsid w:val="004049F1"/>
    <w:rsid w:val="005C6AF1"/>
    <w:rsid w:val="007550D4"/>
    <w:rsid w:val="00791759"/>
    <w:rsid w:val="007F45DE"/>
    <w:rsid w:val="009158FA"/>
    <w:rsid w:val="00917261"/>
    <w:rsid w:val="00A22FB1"/>
    <w:rsid w:val="00A52EF8"/>
    <w:rsid w:val="00A6564C"/>
    <w:rsid w:val="00A94066"/>
    <w:rsid w:val="00AB5BF8"/>
    <w:rsid w:val="00B51894"/>
    <w:rsid w:val="00BA500D"/>
    <w:rsid w:val="00C123E6"/>
    <w:rsid w:val="00CE7B7E"/>
    <w:rsid w:val="00D4186C"/>
    <w:rsid w:val="00D62843"/>
    <w:rsid w:val="00D96684"/>
    <w:rsid w:val="00DD559E"/>
    <w:rsid w:val="00EA432B"/>
    <w:rsid w:val="00EC5078"/>
    <w:rsid w:val="00F62FF2"/>
    <w:rsid w:val="00FA53A3"/>
    <w:rsid w:val="00FE01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EC12"/>
  <w15:chartTrackingRefBased/>
  <w15:docId w15:val="{8609F69A-2048-4CD0-8D3B-28C949CF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9F1"/>
    <w:rPr>
      <w:rFonts w:eastAsiaTheme="majorEastAsia" w:cstheme="majorBidi"/>
      <w:color w:val="272727" w:themeColor="text1" w:themeTint="D8"/>
    </w:rPr>
  </w:style>
  <w:style w:type="paragraph" w:styleId="Title">
    <w:name w:val="Title"/>
    <w:basedOn w:val="Normal"/>
    <w:next w:val="Normal"/>
    <w:link w:val="TitleChar"/>
    <w:uiPriority w:val="10"/>
    <w:qFormat/>
    <w:rsid w:val="00404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9F1"/>
    <w:pPr>
      <w:spacing w:before="160"/>
      <w:jc w:val="center"/>
    </w:pPr>
    <w:rPr>
      <w:i/>
      <w:iCs/>
      <w:color w:val="404040" w:themeColor="text1" w:themeTint="BF"/>
    </w:rPr>
  </w:style>
  <w:style w:type="character" w:customStyle="1" w:styleId="QuoteChar">
    <w:name w:val="Quote Char"/>
    <w:basedOn w:val="DefaultParagraphFont"/>
    <w:link w:val="Quote"/>
    <w:uiPriority w:val="29"/>
    <w:rsid w:val="004049F1"/>
    <w:rPr>
      <w:i/>
      <w:iCs/>
      <w:color w:val="404040" w:themeColor="text1" w:themeTint="BF"/>
    </w:rPr>
  </w:style>
  <w:style w:type="paragraph" w:styleId="ListParagraph">
    <w:name w:val="List Paragraph"/>
    <w:basedOn w:val="Normal"/>
    <w:uiPriority w:val="34"/>
    <w:qFormat/>
    <w:rsid w:val="004049F1"/>
    <w:pPr>
      <w:ind w:left="720"/>
      <w:contextualSpacing/>
    </w:pPr>
  </w:style>
  <w:style w:type="character" w:styleId="IntenseEmphasis">
    <w:name w:val="Intense Emphasis"/>
    <w:basedOn w:val="DefaultParagraphFont"/>
    <w:uiPriority w:val="21"/>
    <w:qFormat/>
    <w:rsid w:val="004049F1"/>
    <w:rPr>
      <w:i/>
      <w:iCs/>
      <w:color w:val="0F4761" w:themeColor="accent1" w:themeShade="BF"/>
    </w:rPr>
  </w:style>
  <w:style w:type="paragraph" w:styleId="IntenseQuote">
    <w:name w:val="Intense Quote"/>
    <w:basedOn w:val="Normal"/>
    <w:next w:val="Normal"/>
    <w:link w:val="IntenseQuoteChar"/>
    <w:uiPriority w:val="30"/>
    <w:qFormat/>
    <w:rsid w:val="00404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9F1"/>
    <w:rPr>
      <w:i/>
      <w:iCs/>
      <w:color w:val="0F4761" w:themeColor="accent1" w:themeShade="BF"/>
    </w:rPr>
  </w:style>
  <w:style w:type="character" w:styleId="IntenseReference">
    <w:name w:val="Intense Reference"/>
    <w:basedOn w:val="DefaultParagraphFont"/>
    <w:uiPriority w:val="32"/>
    <w:qFormat/>
    <w:rsid w:val="004049F1"/>
    <w:rPr>
      <w:b/>
      <w:bCs/>
      <w:smallCaps/>
      <w:color w:val="0F4761" w:themeColor="accent1" w:themeShade="BF"/>
      <w:spacing w:val="5"/>
    </w:rPr>
  </w:style>
  <w:style w:type="paragraph" w:styleId="CommentText">
    <w:name w:val="annotation text"/>
    <w:basedOn w:val="Normal"/>
    <w:link w:val="CommentTextChar"/>
    <w:uiPriority w:val="99"/>
    <w:unhideWhenUsed/>
    <w:rsid w:val="004049F1"/>
    <w:pPr>
      <w:spacing w:line="240" w:lineRule="auto"/>
    </w:pPr>
    <w:rPr>
      <w:sz w:val="20"/>
      <w:szCs w:val="20"/>
    </w:rPr>
  </w:style>
  <w:style w:type="character" w:customStyle="1" w:styleId="CommentTextChar">
    <w:name w:val="Comment Text Char"/>
    <w:basedOn w:val="DefaultParagraphFont"/>
    <w:link w:val="CommentText"/>
    <w:uiPriority w:val="99"/>
    <w:rsid w:val="004049F1"/>
    <w:rPr>
      <w:sz w:val="20"/>
      <w:szCs w:val="20"/>
    </w:rPr>
  </w:style>
  <w:style w:type="character" w:styleId="CommentReference">
    <w:name w:val="annotation reference"/>
    <w:basedOn w:val="DefaultParagraphFont"/>
    <w:uiPriority w:val="99"/>
    <w:semiHidden/>
    <w:unhideWhenUsed/>
    <w:rsid w:val="004049F1"/>
    <w:rPr>
      <w:sz w:val="16"/>
      <w:szCs w:val="16"/>
    </w:rPr>
  </w:style>
  <w:style w:type="paragraph" w:customStyle="1" w:styleId="muutmisksk">
    <w:name w:val="muutmiskäsk"/>
    <w:basedOn w:val="Normal"/>
    <w:qFormat/>
    <w:rsid w:val="00A22FB1"/>
    <w:pPr>
      <w:autoSpaceDN w:val="0"/>
      <w:adjustRightInd w:val="0"/>
      <w:spacing w:before="240" w:after="0" w:line="240" w:lineRule="auto"/>
      <w:jc w:val="both"/>
    </w:pPr>
    <w:rPr>
      <w:rFonts w:ascii="Times New Roman" w:eastAsia="Times New Roman" w:hAnsi="Times New Roman" w:cs="Times New Roman"/>
      <w:kern w:val="0"/>
      <w:lang w:eastAsia="et-EE"/>
      <w14:ligatures w14:val="none"/>
    </w:rPr>
  </w:style>
  <w:style w:type="paragraph" w:customStyle="1" w:styleId="muudetavtekst">
    <w:name w:val="muudetav tekst"/>
    <w:basedOn w:val="Normal"/>
    <w:qFormat/>
    <w:rsid w:val="00A22FB1"/>
    <w:pPr>
      <w:suppressAutoHyphens/>
      <w:autoSpaceDN w:val="0"/>
      <w:adjustRightInd w:val="0"/>
      <w:spacing w:after="0" w:line="240" w:lineRule="auto"/>
      <w:jc w:val="both"/>
    </w:pPr>
    <w:rPr>
      <w:rFonts w:ascii="Times New Roman" w:eastAsia="Times New Roman" w:hAnsi="Times New Roman" w:cs="Times New Roman"/>
      <w:kern w:val="0"/>
      <w:lang w:eastAsia="et-EE"/>
      <w14:ligatures w14:val="none"/>
    </w:rPr>
  </w:style>
  <w:style w:type="paragraph" w:customStyle="1" w:styleId="muudetavtekstalljoonega">
    <w:name w:val="muudetav tekst alljoonega"/>
    <w:basedOn w:val="muudetavtekst"/>
    <w:qFormat/>
    <w:rsid w:val="00A22FB1"/>
    <w:rPr>
      <w:u w:val="single"/>
    </w:rPr>
  </w:style>
  <w:style w:type="paragraph" w:styleId="CommentSubject">
    <w:name w:val="annotation subject"/>
    <w:basedOn w:val="CommentText"/>
    <w:next w:val="CommentText"/>
    <w:link w:val="CommentSubjectChar"/>
    <w:uiPriority w:val="99"/>
    <w:semiHidden/>
    <w:unhideWhenUsed/>
    <w:rsid w:val="002A12C3"/>
    <w:rPr>
      <w:b/>
      <w:bCs/>
    </w:rPr>
  </w:style>
  <w:style w:type="character" w:customStyle="1" w:styleId="CommentSubjectChar">
    <w:name w:val="Comment Subject Char"/>
    <w:basedOn w:val="CommentTextChar"/>
    <w:link w:val="CommentSubject"/>
    <w:uiPriority w:val="99"/>
    <w:semiHidden/>
    <w:rsid w:val="002A12C3"/>
    <w:rPr>
      <w:b/>
      <w:bCs/>
      <w:sz w:val="20"/>
      <w:szCs w:val="20"/>
    </w:rPr>
  </w:style>
  <w:style w:type="paragraph" w:styleId="Revision">
    <w:name w:val="Revision"/>
    <w:hidden/>
    <w:uiPriority w:val="99"/>
    <w:semiHidden/>
    <w:rsid w:val="001E6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3808">
      <w:bodyDiv w:val="1"/>
      <w:marLeft w:val="0"/>
      <w:marRight w:val="0"/>
      <w:marTop w:val="0"/>
      <w:marBottom w:val="0"/>
      <w:divBdr>
        <w:top w:val="none" w:sz="0" w:space="0" w:color="auto"/>
        <w:left w:val="none" w:sz="0" w:space="0" w:color="auto"/>
        <w:bottom w:val="none" w:sz="0" w:space="0" w:color="auto"/>
        <w:right w:val="none" w:sz="0" w:space="0" w:color="auto"/>
      </w:divBdr>
    </w:div>
    <w:div w:id="170992568">
      <w:bodyDiv w:val="1"/>
      <w:marLeft w:val="0"/>
      <w:marRight w:val="0"/>
      <w:marTop w:val="0"/>
      <w:marBottom w:val="0"/>
      <w:divBdr>
        <w:top w:val="none" w:sz="0" w:space="0" w:color="auto"/>
        <w:left w:val="none" w:sz="0" w:space="0" w:color="auto"/>
        <w:bottom w:val="none" w:sz="0" w:space="0" w:color="auto"/>
        <w:right w:val="none" w:sz="0" w:space="0" w:color="auto"/>
      </w:divBdr>
    </w:div>
    <w:div w:id="782572856">
      <w:bodyDiv w:val="1"/>
      <w:marLeft w:val="0"/>
      <w:marRight w:val="0"/>
      <w:marTop w:val="0"/>
      <w:marBottom w:val="0"/>
      <w:divBdr>
        <w:top w:val="none" w:sz="0" w:space="0" w:color="auto"/>
        <w:left w:val="none" w:sz="0" w:space="0" w:color="auto"/>
        <w:bottom w:val="none" w:sz="0" w:space="0" w:color="auto"/>
        <w:right w:val="none" w:sz="0" w:space="0" w:color="auto"/>
      </w:divBdr>
    </w:div>
    <w:div w:id="1186558718">
      <w:bodyDiv w:val="1"/>
      <w:marLeft w:val="0"/>
      <w:marRight w:val="0"/>
      <w:marTop w:val="0"/>
      <w:marBottom w:val="0"/>
      <w:divBdr>
        <w:top w:val="none" w:sz="0" w:space="0" w:color="auto"/>
        <w:left w:val="none" w:sz="0" w:space="0" w:color="auto"/>
        <w:bottom w:val="none" w:sz="0" w:space="0" w:color="auto"/>
        <w:right w:val="none" w:sz="0" w:space="0" w:color="auto"/>
      </w:divBdr>
    </w:div>
    <w:div w:id="14440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1031</Words>
  <Characters>5984</Characters>
  <Application>Microsoft Office Word</Application>
  <DocSecurity>4</DocSecurity>
  <Lines>49</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KeMIT</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Liis Kilk</dc:creator>
  <cp:keywords/>
  <dc:description/>
  <cp:lastModifiedBy>Thérèse Liis Kilk</cp:lastModifiedBy>
  <cp:revision>2</cp:revision>
  <dcterms:created xsi:type="dcterms:W3CDTF">2025-05-23T11:03:00Z</dcterms:created>
  <dcterms:modified xsi:type="dcterms:W3CDTF">2025-05-23T11:03:00Z</dcterms:modified>
</cp:coreProperties>
</file>